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55C0" w14:textId="77777777" w:rsidR="008A3F41" w:rsidRPr="00AA6262" w:rsidRDefault="008A3F41" w:rsidP="008A3F41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6262">
        <w:rPr>
          <w:rFonts w:asciiTheme="minorHAnsi" w:hAnsiTheme="minorHAnsi" w:cstheme="minorHAnsi"/>
          <w:b/>
          <w:bCs/>
          <w:sz w:val="24"/>
          <w:szCs w:val="24"/>
          <w:lang w:val="en-US"/>
        </w:rPr>
        <w:t>Resilience to Extreme Heat in Milk Production: Evidence from Israel</w:t>
      </w:r>
    </w:p>
    <w:p w14:paraId="2A5E8E87" w14:textId="77777777" w:rsidR="008A3F41" w:rsidRPr="00AA6262" w:rsidRDefault="008A3F41" w:rsidP="008A3F41">
      <w:pPr>
        <w:spacing w:after="120"/>
        <w:jc w:val="center"/>
        <w:rPr>
          <w:rFonts w:asciiTheme="minorHAnsi" w:hAnsiTheme="minorHAnsi" w:cstheme="minorHAnsi"/>
          <w:sz w:val="24"/>
          <w:szCs w:val="24"/>
          <w:vertAlign w:val="superscript"/>
          <w:lang w:val="en-US"/>
        </w:rPr>
      </w:pPr>
      <w:r w:rsidRPr="00351F70">
        <w:rPr>
          <w:rFonts w:asciiTheme="minorHAnsi" w:hAnsiTheme="minorHAnsi" w:cstheme="minorHAnsi"/>
          <w:sz w:val="24"/>
          <w:szCs w:val="24"/>
          <w:lang w:val="en-US"/>
        </w:rPr>
        <w:t>Claire Palandri</w:t>
      </w:r>
      <w:r w:rsidRPr="00351F70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1</w:t>
      </w:r>
      <w:r w:rsidRPr="00351F70">
        <w:rPr>
          <w:rFonts w:asciiTheme="minorHAnsi" w:hAnsiTheme="minorHAnsi" w:cstheme="minorHAnsi"/>
          <w:sz w:val="24"/>
          <w:szCs w:val="24"/>
          <w:lang w:val="en-US"/>
        </w:rPr>
        <w:t>, Ram Fishman</w:t>
      </w:r>
      <w:r w:rsidRPr="00351F70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2</w:t>
      </w:r>
      <w:r w:rsidRPr="00351F70">
        <w:rPr>
          <w:rFonts w:asciiTheme="minorHAnsi" w:hAnsiTheme="minorHAnsi" w:cstheme="minorHAnsi"/>
          <w:sz w:val="24"/>
          <w:szCs w:val="24"/>
          <w:lang w:val="en-US"/>
        </w:rPr>
        <w:t>, Eyal Frank</w:t>
      </w:r>
      <w:r w:rsidRPr="00351F70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3</w:t>
      </w:r>
      <w:r w:rsidRPr="00351F70">
        <w:rPr>
          <w:rFonts w:asciiTheme="minorHAnsi" w:hAnsiTheme="minorHAnsi" w:cstheme="minorHAnsi"/>
          <w:sz w:val="24"/>
          <w:szCs w:val="24"/>
          <w:lang w:val="en-US"/>
        </w:rPr>
        <w:t>, Ayal Kimhi</w:t>
      </w:r>
      <w:r w:rsidRPr="00351F70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4</w:t>
      </w:r>
      <w:r w:rsidRPr="00351F70">
        <w:rPr>
          <w:rFonts w:asciiTheme="minorHAnsi" w:hAnsiTheme="minorHAnsi" w:cstheme="minorHAnsi"/>
          <w:sz w:val="24"/>
          <w:szCs w:val="24"/>
          <w:lang w:val="en-US"/>
        </w:rPr>
        <w:t>, Yaniv Lavon</w:t>
      </w:r>
      <w:r w:rsidRPr="00351F70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5</w:t>
      </w:r>
      <w:r w:rsidRPr="00351F70">
        <w:rPr>
          <w:rFonts w:asciiTheme="minorHAnsi" w:hAnsiTheme="minorHAnsi" w:cstheme="minorHAnsi"/>
          <w:sz w:val="24"/>
          <w:szCs w:val="24"/>
          <w:lang w:val="en-US"/>
        </w:rPr>
        <w:t>, Gabi Adin</w:t>
      </w:r>
      <w:r w:rsidRPr="00351F70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6</w:t>
      </w:r>
    </w:p>
    <w:p w14:paraId="088E9A8D" w14:textId="77777777" w:rsidR="008A3F41" w:rsidRPr="00351F70" w:rsidRDefault="008A3F41" w:rsidP="008A3F41">
      <w:pPr>
        <w:rPr>
          <w:rFonts w:asciiTheme="minorHAnsi" w:hAnsiTheme="minorHAnsi" w:cstheme="minorHAnsi"/>
          <w:sz w:val="24"/>
          <w:szCs w:val="24"/>
        </w:rPr>
      </w:pPr>
      <w:r w:rsidRPr="00351F70">
        <w:rPr>
          <w:rFonts w:asciiTheme="minorHAnsi" w:hAnsiTheme="minorHAnsi" w:cstheme="minorHAnsi"/>
          <w:sz w:val="24"/>
          <w:szCs w:val="24"/>
          <w:lang w:val="en-US"/>
        </w:rPr>
        <w:t>1 Columbia University</w:t>
      </w:r>
    </w:p>
    <w:p w14:paraId="61CBCDF7" w14:textId="77777777" w:rsidR="008A3F41" w:rsidRPr="00351F70" w:rsidRDefault="008A3F41" w:rsidP="008A3F41">
      <w:pPr>
        <w:rPr>
          <w:rFonts w:asciiTheme="minorHAnsi" w:hAnsiTheme="minorHAnsi" w:cstheme="minorHAnsi"/>
          <w:sz w:val="24"/>
          <w:szCs w:val="24"/>
        </w:rPr>
      </w:pPr>
      <w:r w:rsidRPr="00351F70">
        <w:rPr>
          <w:rFonts w:asciiTheme="minorHAnsi" w:hAnsiTheme="minorHAnsi" w:cstheme="minorHAnsi"/>
          <w:sz w:val="24"/>
          <w:szCs w:val="24"/>
          <w:lang w:val="en-US"/>
        </w:rPr>
        <w:t>2 Tel-Aviv University</w:t>
      </w:r>
    </w:p>
    <w:p w14:paraId="62A96627" w14:textId="77777777" w:rsidR="008A3F41" w:rsidRPr="00351F70" w:rsidRDefault="008A3F41" w:rsidP="008A3F41">
      <w:pPr>
        <w:rPr>
          <w:rFonts w:asciiTheme="minorHAnsi" w:hAnsiTheme="minorHAnsi" w:cstheme="minorHAnsi"/>
          <w:sz w:val="24"/>
          <w:szCs w:val="24"/>
        </w:rPr>
      </w:pPr>
      <w:r w:rsidRPr="00351F70">
        <w:rPr>
          <w:rFonts w:asciiTheme="minorHAnsi" w:hAnsiTheme="minorHAnsi" w:cstheme="minorHAnsi"/>
          <w:sz w:val="24"/>
          <w:szCs w:val="24"/>
          <w:lang w:val="en-US"/>
        </w:rPr>
        <w:t>3 University of Chicago</w:t>
      </w:r>
    </w:p>
    <w:p w14:paraId="17C0D5D0" w14:textId="77777777" w:rsidR="008A3F41" w:rsidRPr="00351F70" w:rsidRDefault="008A3F41" w:rsidP="008A3F41">
      <w:pPr>
        <w:rPr>
          <w:rFonts w:asciiTheme="minorHAnsi" w:hAnsiTheme="minorHAnsi" w:cstheme="minorHAnsi"/>
          <w:sz w:val="24"/>
          <w:szCs w:val="24"/>
        </w:rPr>
      </w:pPr>
      <w:r w:rsidRPr="00351F70">
        <w:rPr>
          <w:rFonts w:asciiTheme="minorHAnsi" w:hAnsiTheme="minorHAnsi" w:cstheme="minorHAnsi"/>
          <w:sz w:val="24"/>
          <w:szCs w:val="24"/>
          <w:lang w:val="en-US"/>
        </w:rPr>
        <w:t>4 The Hebrew University of Jerusalem</w:t>
      </w:r>
    </w:p>
    <w:p w14:paraId="5BD758C3" w14:textId="77777777" w:rsidR="008A3F41" w:rsidRPr="00351F70" w:rsidRDefault="008A3F41" w:rsidP="008A3F41">
      <w:pPr>
        <w:rPr>
          <w:rFonts w:asciiTheme="minorHAnsi" w:hAnsiTheme="minorHAnsi" w:cstheme="minorHAnsi"/>
          <w:sz w:val="24"/>
          <w:szCs w:val="24"/>
        </w:rPr>
      </w:pPr>
      <w:r w:rsidRPr="00351F70">
        <w:rPr>
          <w:rFonts w:asciiTheme="minorHAnsi" w:hAnsiTheme="minorHAnsi" w:cstheme="minorHAnsi"/>
          <w:sz w:val="24"/>
          <w:szCs w:val="24"/>
          <w:lang w:val="en-US"/>
        </w:rPr>
        <w:t>5 Israeli Cattle Breeders’ Association</w:t>
      </w:r>
    </w:p>
    <w:p w14:paraId="6F7526A0" w14:textId="77777777" w:rsidR="008A3F41" w:rsidRPr="00351F70" w:rsidRDefault="008A3F41" w:rsidP="008A3F41">
      <w:pPr>
        <w:rPr>
          <w:rFonts w:asciiTheme="minorHAnsi" w:hAnsiTheme="minorHAnsi" w:cstheme="minorHAnsi"/>
          <w:sz w:val="24"/>
          <w:szCs w:val="24"/>
        </w:rPr>
      </w:pPr>
      <w:r w:rsidRPr="00351F70">
        <w:rPr>
          <w:rFonts w:asciiTheme="minorHAnsi" w:hAnsiTheme="minorHAnsi" w:cstheme="minorHAnsi"/>
          <w:sz w:val="24"/>
          <w:szCs w:val="24"/>
          <w:lang w:val="en-US"/>
        </w:rPr>
        <w:t>6 Israeli Ministry of Agriculture</w:t>
      </w:r>
    </w:p>
    <w:p w14:paraId="7C57B6A4" w14:textId="77777777" w:rsidR="008A3F41" w:rsidRPr="00AA6262" w:rsidRDefault="008A3F41" w:rsidP="008A3F41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6262">
        <w:rPr>
          <w:rFonts w:asciiTheme="minorHAnsi" w:hAnsiTheme="minorHAnsi" w:cstheme="minorHAnsi"/>
          <w:b/>
          <w:bCs/>
          <w:sz w:val="24"/>
          <w:szCs w:val="24"/>
          <w:lang w:val="en-US"/>
        </w:rPr>
        <w:t>Abstract</w:t>
      </w:r>
    </w:p>
    <w:p w14:paraId="4C06AEC8" w14:textId="77777777" w:rsidR="008A3F41" w:rsidRPr="00AA6262" w:rsidRDefault="008A3F41" w:rsidP="00F863F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AA6262">
        <w:rPr>
          <w:rFonts w:asciiTheme="minorHAnsi" w:hAnsiTheme="minorHAnsi" w:cstheme="minorHAnsi"/>
          <w:sz w:val="24"/>
          <w:szCs w:val="24"/>
          <w:lang w:eastAsia="en-US"/>
        </w:rPr>
        <w:t>The impacts of climatic variability and change on agriculture - including the dairy sector - can have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dramatic local and global effects on incomes, nutrition and food security. Dairy science has long recognized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the sensitivity of milk production to heat stress, but rigorous economic assessments of the potential impact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of climatic variability and change at country level scales remain strikingly absent from the climate impacts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literature. Existing studies often make strong functional form assumptions regarding the response to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variations in temperature (e.g.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>,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 xml:space="preserve"> linearity) that are often based on highly localized estimates from limited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samples of farms. Moreover, they do not take into account either short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>-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 xml:space="preserve"> or long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>-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term adaptive responses by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farmers.</w:t>
      </w:r>
    </w:p>
    <w:p w14:paraId="376C1C94" w14:textId="77777777" w:rsidR="008A3F41" w:rsidRPr="00AA6262" w:rsidRDefault="008A3F41" w:rsidP="00F863F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AA6262">
        <w:rPr>
          <w:rFonts w:asciiTheme="minorHAnsi" w:hAnsiTheme="minorHAnsi" w:cstheme="minorHAnsi"/>
          <w:sz w:val="24"/>
          <w:szCs w:val="24"/>
          <w:lang w:eastAsia="en-US"/>
        </w:rPr>
        <w:t>This research attempts to fill this gap by exploiting extensive high resolution data sets on milk production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in Israel (daily data at the cow level spanning some 30 million records per year), augmented by data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on coping strategies used by Israeli dairy farms that we collected in a survey of about 300 farms. Our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analysis builds on and adapts methodological advances, introduced in recent years by environmental and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agricultural economists to the climate impacts literature, that have so far not been applied to the dairy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sector.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49911F26" w14:textId="77777777" w:rsidR="008A3F41" w:rsidRPr="00AA6262" w:rsidRDefault="008A3F41" w:rsidP="00F863F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A6262">
        <w:rPr>
          <w:rFonts w:asciiTheme="minorHAnsi" w:hAnsiTheme="minorHAnsi" w:cstheme="minorHAnsi"/>
          <w:sz w:val="24"/>
          <w:szCs w:val="24"/>
          <w:lang w:eastAsia="en-US"/>
        </w:rPr>
        <w:t>We provide novel economic estimates of: (</w:t>
      </w:r>
      <w:proofErr w:type="spellStart"/>
      <w:r w:rsidRPr="00AA6262">
        <w:rPr>
          <w:rFonts w:asciiTheme="minorHAnsi" w:hAnsiTheme="minorHAnsi" w:cstheme="minorHAnsi"/>
          <w:sz w:val="24"/>
          <w:szCs w:val="24"/>
          <w:lang w:eastAsia="en-US"/>
        </w:rPr>
        <w:t>i</w:t>
      </w:r>
      <w:proofErr w:type="spellEnd"/>
      <w:r w:rsidRPr="00AA6262">
        <w:rPr>
          <w:rFonts w:asciiTheme="minorHAnsi" w:hAnsiTheme="minorHAnsi" w:cstheme="minorHAnsi"/>
          <w:sz w:val="24"/>
          <w:szCs w:val="24"/>
          <w:lang w:eastAsia="en-US"/>
        </w:rPr>
        <w:t>) the effects of temperature and humidity on milk production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at a much higher level of flexibility and precision than was previously analysed; and (ii) the benefits and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costs of different potential adaptation strategies. We also use the unique resolution of the data to make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methodological contributions such as testing important assumptions about the additive linear properties</w:t>
      </w:r>
      <w:r w:rsidRPr="00AA626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Pr="00AA6262">
        <w:rPr>
          <w:rFonts w:asciiTheme="minorHAnsi" w:hAnsiTheme="minorHAnsi" w:cstheme="minorHAnsi"/>
          <w:sz w:val="24"/>
          <w:szCs w:val="24"/>
          <w:lang w:eastAsia="en-US"/>
        </w:rPr>
        <w:t>of estimates in the weather-economics literature.</w:t>
      </w:r>
    </w:p>
    <w:p w14:paraId="5F64D649" w14:textId="77777777" w:rsidR="008A3F41" w:rsidRDefault="008A3F41" w:rsidP="008A3F41">
      <w:pPr>
        <w:pStyle w:val="Default"/>
        <w:spacing w:after="120"/>
        <w:rPr>
          <w:rFonts w:asciiTheme="minorHAnsi" w:hAnsiTheme="minorHAnsi" w:cstheme="minorHAnsi"/>
        </w:rPr>
      </w:pPr>
    </w:p>
    <w:p w14:paraId="5F54D104" w14:textId="77777777" w:rsidR="00D10940" w:rsidRDefault="00D10940"/>
    <w:sectPr w:rsidR="00D10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Candara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41"/>
    <w:rsid w:val="008A3F41"/>
    <w:rsid w:val="00D10940"/>
    <w:rsid w:val="00F8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132F"/>
  <w15:chartTrackingRefBased/>
  <w15:docId w15:val="{775D748E-74B8-4288-8428-BD34A035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41"/>
    <w:pPr>
      <w:spacing w:after="0" w:line="240" w:lineRule="auto"/>
    </w:pPr>
    <w:rPr>
      <w:rFonts w:ascii="Calibri" w:hAnsi="Calibri" w:cs="Calibri"/>
      <w:lang w:eastAsia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F41"/>
    <w:pPr>
      <w:autoSpaceDE w:val="0"/>
      <w:autoSpaceDN w:val="0"/>
      <w:adjustRightInd w:val="0"/>
      <w:spacing w:after="0" w:line="240" w:lineRule="auto"/>
    </w:pPr>
    <w:rPr>
      <w:rFonts w:ascii="David" w:hAnsi="David" w:cs="Davi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</dc:creator>
  <cp:keywords/>
  <dc:description/>
  <cp:lastModifiedBy>Ayal</cp:lastModifiedBy>
  <cp:revision>2</cp:revision>
  <dcterms:created xsi:type="dcterms:W3CDTF">2022-11-14T17:36:00Z</dcterms:created>
  <dcterms:modified xsi:type="dcterms:W3CDTF">2022-11-14T17:59:00Z</dcterms:modified>
</cp:coreProperties>
</file>