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ECFE" w14:textId="77777777" w:rsidR="001C3011" w:rsidRPr="0040666D" w:rsidRDefault="001C3011" w:rsidP="001C3011">
      <w:pPr>
        <w:spacing w:after="120"/>
        <w:jc w:val="center"/>
        <w:rPr>
          <w:rFonts w:cs="Times New Roman"/>
          <w:b/>
          <w:sz w:val="24"/>
          <w:szCs w:val="24"/>
        </w:rPr>
      </w:pPr>
      <w:r w:rsidRPr="0040666D">
        <w:rPr>
          <w:rFonts w:cs="Times New Roman"/>
          <w:b/>
          <w:sz w:val="24"/>
          <w:szCs w:val="24"/>
        </w:rPr>
        <w:t>Measuring Food Security in Japan:</w:t>
      </w:r>
    </w:p>
    <w:p w14:paraId="025AA6B7" w14:textId="77777777" w:rsidR="001C3011" w:rsidRPr="0040666D" w:rsidRDefault="001C3011" w:rsidP="001C3011">
      <w:pPr>
        <w:spacing w:after="120"/>
        <w:jc w:val="center"/>
        <w:rPr>
          <w:rFonts w:cs="Times New Roman"/>
          <w:b/>
          <w:sz w:val="24"/>
          <w:szCs w:val="24"/>
        </w:rPr>
      </w:pPr>
      <w:r w:rsidRPr="0040666D">
        <w:rPr>
          <w:rFonts w:cs="Times New Roman"/>
          <w:b/>
          <w:sz w:val="24"/>
          <w:szCs w:val="24"/>
        </w:rPr>
        <w:t>Introducing Democracy Indexes of Import Countries for Risk Assessment</w:t>
      </w:r>
    </w:p>
    <w:p w14:paraId="6ABA772C" w14:textId="77777777" w:rsidR="001C3011" w:rsidRPr="0040666D" w:rsidRDefault="001C3011" w:rsidP="001C3011">
      <w:pPr>
        <w:spacing w:after="120"/>
        <w:jc w:val="center"/>
        <w:rPr>
          <w:rFonts w:cs="Times New Roman"/>
          <w:sz w:val="24"/>
          <w:szCs w:val="24"/>
        </w:rPr>
      </w:pPr>
      <w:r w:rsidRPr="0040666D">
        <w:rPr>
          <w:rFonts w:cs="Times New Roman"/>
          <w:sz w:val="24"/>
          <w:szCs w:val="24"/>
        </w:rPr>
        <w:t xml:space="preserve">Tadayoshi Masuda*, </w:t>
      </w:r>
      <w:proofErr w:type="spellStart"/>
      <w:r w:rsidRPr="0040666D">
        <w:rPr>
          <w:rFonts w:cs="Times New Roman"/>
          <w:sz w:val="24"/>
          <w:szCs w:val="24"/>
        </w:rPr>
        <w:t>Kindai</w:t>
      </w:r>
      <w:proofErr w:type="spellEnd"/>
      <w:r w:rsidRPr="0040666D">
        <w:rPr>
          <w:rFonts w:cs="Times New Roman"/>
          <w:sz w:val="24"/>
          <w:szCs w:val="24"/>
        </w:rPr>
        <w:t xml:space="preserve"> University, Faculty of Agriculture, Nara, Japan</w:t>
      </w:r>
    </w:p>
    <w:p w14:paraId="0E7AB1C6" w14:textId="77777777" w:rsidR="001C3011" w:rsidRPr="0040666D" w:rsidRDefault="001C3011" w:rsidP="001C3011">
      <w:pPr>
        <w:spacing w:after="120"/>
        <w:jc w:val="center"/>
        <w:rPr>
          <w:rFonts w:cs="Times New Roman"/>
          <w:sz w:val="24"/>
          <w:szCs w:val="24"/>
        </w:rPr>
      </w:pPr>
      <w:r w:rsidRPr="0040666D">
        <w:rPr>
          <w:rFonts w:cs="Times New Roman"/>
          <w:sz w:val="24"/>
          <w:szCs w:val="24"/>
        </w:rPr>
        <w:t xml:space="preserve">*Corresponding email: </w:t>
      </w:r>
      <w:hyperlink r:id="rId8" w:history="1">
        <w:r w:rsidRPr="0040666D">
          <w:rPr>
            <w:rStyle w:val="Hyperlink"/>
            <w:rFonts w:cs="Times New Roman"/>
            <w:sz w:val="24"/>
            <w:szCs w:val="24"/>
          </w:rPr>
          <w:t>tad.masuda@gmail.com</w:t>
        </w:r>
      </w:hyperlink>
    </w:p>
    <w:p w14:paraId="1402BACB" w14:textId="77777777" w:rsidR="001C3011" w:rsidRPr="0040666D" w:rsidRDefault="001C3011" w:rsidP="001C3011">
      <w:pPr>
        <w:spacing w:after="120"/>
        <w:jc w:val="both"/>
        <w:rPr>
          <w:rFonts w:cs="Times New Roman"/>
          <w:sz w:val="24"/>
          <w:szCs w:val="24"/>
        </w:rPr>
      </w:pPr>
      <w:r w:rsidRPr="0040666D">
        <w:rPr>
          <w:rFonts w:cs="Times New Roman"/>
          <w:b/>
          <w:sz w:val="24"/>
          <w:szCs w:val="24"/>
        </w:rPr>
        <w:t>Key words:</w:t>
      </w:r>
      <w:r w:rsidRPr="0040666D">
        <w:rPr>
          <w:rFonts w:cs="Times New Roman"/>
          <w:sz w:val="24"/>
          <w:szCs w:val="24"/>
        </w:rPr>
        <w:t xml:space="preserve"> food security, Japan, democracy index, voice &amp; accountability, risk assessment</w:t>
      </w:r>
    </w:p>
    <w:p w14:paraId="47C4CA9F" w14:textId="77777777" w:rsidR="001C3011" w:rsidRPr="0040666D" w:rsidRDefault="001C3011" w:rsidP="001C3011">
      <w:pPr>
        <w:spacing w:after="120"/>
        <w:jc w:val="center"/>
        <w:rPr>
          <w:rFonts w:cs="Times New Roman"/>
          <w:sz w:val="24"/>
          <w:szCs w:val="24"/>
        </w:rPr>
      </w:pPr>
      <w:r w:rsidRPr="00EA2344">
        <w:rPr>
          <w:rFonts w:cstheme="minorHAnsi"/>
          <w:b/>
          <w:bCs/>
          <w:sz w:val="24"/>
          <w:szCs w:val="24"/>
        </w:rPr>
        <w:t>Abstract</w:t>
      </w:r>
    </w:p>
    <w:p w14:paraId="639E1D89" w14:textId="77777777" w:rsidR="001C3011" w:rsidRPr="0040666D" w:rsidRDefault="001C3011" w:rsidP="001C3011">
      <w:pPr>
        <w:spacing w:after="120"/>
        <w:jc w:val="both"/>
        <w:rPr>
          <w:rFonts w:cs="Times New Roman"/>
          <w:sz w:val="24"/>
          <w:szCs w:val="24"/>
        </w:rPr>
      </w:pPr>
      <w:r w:rsidRPr="0040666D">
        <w:rPr>
          <w:rFonts w:cs="Times New Roman"/>
          <w:sz w:val="24"/>
          <w:szCs w:val="24"/>
        </w:rPr>
        <w:t xml:space="preserve">In Fiscal Year 2021 (April – March 2022), Japan’s calorie-based food self-sufficiency ratio was 38% and the ratio based on production value was 68%. Japan’s food security depends on </w:t>
      </w:r>
      <w:proofErr w:type="spellStart"/>
      <w:r w:rsidRPr="0040666D">
        <w:rPr>
          <w:rFonts w:cs="Times New Roman"/>
          <w:sz w:val="24"/>
          <w:szCs w:val="24"/>
        </w:rPr>
        <w:t>i</w:t>
      </w:r>
      <w:proofErr w:type="spellEnd"/>
      <w:r w:rsidRPr="0040666D">
        <w:rPr>
          <w:rFonts w:cs="Times New Roman"/>
          <w:sz w:val="24"/>
          <w:szCs w:val="24"/>
        </w:rPr>
        <w:t xml:space="preserve">) promoting domestic production, and ii) stable and flexible imports of agricultural products and agricultural materials. In order to ensure a sustainable food supply, risk assessment is important both domestically and internationally. </w:t>
      </w:r>
    </w:p>
    <w:p w14:paraId="43E00090" w14:textId="77777777" w:rsidR="001C3011" w:rsidRPr="0040666D" w:rsidRDefault="001C3011" w:rsidP="001C3011">
      <w:pPr>
        <w:spacing w:after="120"/>
        <w:jc w:val="both"/>
        <w:rPr>
          <w:rFonts w:cs="Times New Roman"/>
          <w:sz w:val="24"/>
          <w:szCs w:val="24"/>
        </w:rPr>
      </w:pPr>
      <w:r w:rsidRPr="0040666D">
        <w:rPr>
          <w:rFonts w:cs="Times New Roman"/>
          <w:sz w:val="24"/>
          <w:szCs w:val="24"/>
        </w:rPr>
        <w:t xml:space="preserve">Risk assessment items include </w:t>
      </w:r>
      <w:proofErr w:type="spellStart"/>
      <w:r w:rsidRPr="0040666D">
        <w:rPr>
          <w:rFonts w:cs="Times New Roman"/>
          <w:sz w:val="24"/>
          <w:szCs w:val="24"/>
        </w:rPr>
        <w:t>i</w:t>
      </w:r>
      <w:proofErr w:type="spellEnd"/>
      <w:r w:rsidRPr="0040666D">
        <w:rPr>
          <w:rFonts w:cs="Times New Roman"/>
          <w:sz w:val="24"/>
          <w:szCs w:val="24"/>
        </w:rPr>
        <w:t xml:space="preserve">) natural conditions such as climate change (maybe artificial partly), disasters/abnormal weather, locust damage, livestock/crop disease epidemics, as well as ii) socio-political elements such as demand competition in the international market, export disruptions/regulations, damage to production &amp; supply chains due to policy changes, political instability, terrorism, and/or war. </w:t>
      </w:r>
    </w:p>
    <w:p w14:paraId="03826E75" w14:textId="77777777" w:rsidR="001C3011" w:rsidRPr="0040666D" w:rsidRDefault="001C3011" w:rsidP="001C3011">
      <w:pPr>
        <w:spacing w:after="120"/>
        <w:jc w:val="both"/>
        <w:rPr>
          <w:rFonts w:cs="Times New Roman"/>
          <w:sz w:val="24"/>
          <w:szCs w:val="24"/>
        </w:rPr>
      </w:pPr>
      <w:r w:rsidRPr="0040666D">
        <w:rPr>
          <w:rFonts w:cs="Times New Roman"/>
          <w:sz w:val="24"/>
          <w:szCs w:val="24"/>
        </w:rPr>
        <w:t xml:space="preserve">This work focuses on Japan’s agricultural importers and their degrees of democracy from the viewpoint of overseas risk assessment. </w:t>
      </w:r>
    </w:p>
    <w:p w14:paraId="3DD41F53" w14:textId="77777777" w:rsidR="001C3011" w:rsidRPr="0040666D" w:rsidRDefault="001C3011" w:rsidP="001C3011">
      <w:pPr>
        <w:spacing w:after="120"/>
        <w:jc w:val="both"/>
        <w:rPr>
          <w:rFonts w:cs="Times New Roman"/>
          <w:sz w:val="24"/>
          <w:szCs w:val="24"/>
        </w:rPr>
      </w:pPr>
      <w:r w:rsidRPr="0040666D">
        <w:rPr>
          <w:rFonts w:cs="Times New Roman"/>
          <w:sz w:val="24"/>
          <w:szCs w:val="24"/>
        </w:rPr>
        <w:t>Of the 15.4 trillion JPY (106.4 billion USD</w:t>
      </w:r>
      <w:r w:rsidRPr="0040666D">
        <w:rPr>
          <w:rStyle w:val="FootnoteReference"/>
          <w:rFonts w:cs="Times New Roman"/>
          <w:sz w:val="24"/>
          <w:szCs w:val="24"/>
        </w:rPr>
        <w:footnoteReference w:id="1"/>
      </w:r>
      <w:r w:rsidRPr="0040666D">
        <w:rPr>
          <w:rFonts w:cs="Times New Roman"/>
          <w:sz w:val="24"/>
          <w:szCs w:val="24"/>
        </w:rPr>
        <w:t>) in food consumption in Japan in FY2020, 67.4% (10.4 trillion JPY or 71.7 billion USD</w:t>
      </w:r>
      <w:r w:rsidRPr="0040666D">
        <w:rPr>
          <w:rFonts w:cs="Times New Roman"/>
          <w:sz w:val="24"/>
          <w:szCs w:val="24"/>
          <w:vertAlign w:val="superscript"/>
        </w:rPr>
        <w:t>1</w:t>
      </w:r>
      <w:r w:rsidRPr="0040666D">
        <w:rPr>
          <w:rFonts w:cs="Times New Roman"/>
          <w:sz w:val="24"/>
          <w:szCs w:val="24"/>
        </w:rPr>
        <w:t>) was covered by domestic production and 32.6% (5.0 trillion JPY or 34.6 billion USD</w:t>
      </w:r>
      <w:r w:rsidRPr="0040666D">
        <w:rPr>
          <w:rFonts w:cs="Times New Roman"/>
          <w:sz w:val="24"/>
          <w:szCs w:val="24"/>
          <w:vertAlign w:val="superscript"/>
        </w:rPr>
        <w:t>1</w:t>
      </w:r>
      <w:r w:rsidRPr="0040666D">
        <w:rPr>
          <w:rFonts w:cs="Times New Roman"/>
          <w:sz w:val="24"/>
          <w:szCs w:val="24"/>
        </w:rPr>
        <w:t xml:space="preserve">) was covered by imports. </w:t>
      </w:r>
    </w:p>
    <w:p w14:paraId="0DC27C10" w14:textId="77777777" w:rsidR="001C3011" w:rsidRPr="0040666D" w:rsidRDefault="001C3011" w:rsidP="001C3011">
      <w:pPr>
        <w:spacing w:after="120"/>
        <w:jc w:val="both"/>
        <w:rPr>
          <w:rFonts w:cs="Times New Roman"/>
          <w:sz w:val="24"/>
          <w:szCs w:val="24"/>
        </w:rPr>
      </w:pPr>
      <w:r w:rsidRPr="0040666D">
        <w:rPr>
          <w:rFonts w:cs="Times New Roman"/>
          <w:sz w:val="24"/>
          <w:szCs w:val="24"/>
        </w:rPr>
        <w:t xml:space="preserve">The top importer was US (1,227 billion JPY or 8,463 million USD), following China (489.8 billion JPY or 8,463 million USD), Australia (443.2 billion JPY or 3,057 million USD), EU (416.9 billion JPY or 2,875 million USD), and Canada (415.3 billion JPY or 2,864 million USD). </w:t>
      </w:r>
    </w:p>
    <w:p w14:paraId="791E1B2B" w14:textId="77777777" w:rsidR="001C3011" w:rsidRPr="0040666D" w:rsidRDefault="001C3011" w:rsidP="001C3011">
      <w:pPr>
        <w:spacing w:after="120"/>
        <w:jc w:val="both"/>
        <w:rPr>
          <w:rFonts w:cs="Times New Roman"/>
          <w:sz w:val="24"/>
          <w:szCs w:val="24"/>
        </w:rPr>
      </w:pPr>
      <w:r w:rsidRPr="0040666D">
        <w:rPr>
          <w:rFonts w:cs="Times New Roman"/>
          <w:sz w:val="24"/>
          <w:szCs w:val="24"/>
        </w:rPr>
        <w:t xml:space="preserve">As a democracy index, ‘Voice and Accountability’ (-2.5 to +2.5 range, 2021) from the Worldwide Governance Indicators (WGI), World Bank, is employed: US +0.90, China -1.64, Australia +1.38, EU +1.08 (27 member countries average), and Canada +1.46. </w:t>
      </w:r>
    </w:p>
    <w:p w14:paraId="13054B04" w14:textId="77777777" w:rsidR="001C3011" w:rsidRPr="0040666D" w:rsidRDefault="001C3011" w:rsidP="001C3011">
      <w:pPr>
        <w:spacing w:after="120"/>
        <w:jc w:val="both"/>
        <w:rPr>
          <w:rFonts w:cs="Times New Roman"/>
          <w:sz w:val="24"/>
          <w:szCs w:val="24"/>
        </w:rPr>
      </w:pPr>
      <w:r w:rsidRPr="0040666D">
        <w:rPr>
          <w:rFonts w:cs="Times New Roman"/>
          <w:sz w:val="24"/>
          <w:szCs w:val="24"/>
        </w:rPr>
        <w:t xml:space="preserve">The agricultural import values (and/or quantities) by country by commodity/material are also arranged and reviewed with the democracy indexes. </w:t>
      </w:r>
    </w:p>
    <w:p w14:paraId="4D1B9ECF" w14:textId="77777777" w:rsidR="001C3011" w:rsidRPr="0040666D" w:rsidRDefault="001C3011" w:rsidP="001C3011">
      <w:pPr>
        <w:spacing w:after="120"/>
        <w:jc w:val="both"/>
        <w:rPr>
          <w:rFonts w:cs="Times New Roman"/>
          <w:sz w:val="24"/>
          <w:szCs w:val="24"/>
        </w:rPr>
      </w:pPr>
      <w:r w:rsidRPr="0040666D">
        <w:rPr>
          <w:rFonts w:cs="Times New Roman"/>
          <w:sz w:val="24"/>
          <w:szCs w:val="24"/>
        </w:rPr>
        <w:t xml:space="preserve">In conclusion, Japan’s strategies and policy implications to mitigate food security risks and simultaneously to enjoy the benefits of trade are discussed.  </w:t>
      </w:r>
    </w:p>
    <w:p w14:paraId="51890948" w14:textId="4A941739" w:rsidR="00C5193E" w:rsidRPr="001C3011" w:rsidRDefault="00C5193E" w:rsidP="001C3011"/>
    <w:sectPr w:rsidR="00C5193E" w:rsidRPr="001C3011" w:rsidSect="00AF123E">
      <w:pgSz w:w="11906" w:h="16838" w:code="9"/>
      <w:pgMar w:top="1440" w:right="1440" w:bottom="1440" w:left="1440" w:header="720" w:footer="720"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32D0" w14:textId="77777777" w:rsidR="00D440EE" w:rsidRDefault="00D440EE" w:rsidP="005D0DB1">
      <w:pPr>
        <w:spacing w:after="0" w:line="240" w:lineRule="auto"/>
      </w:pPr>
      <w:r>
        <w:separator/>
      </w:r>
    </w:p>
  </w:endnote>
  <w:endnote w:type="continuationSeparator" w:id="0">
    <w:p w14:paraId="1D9CB372" w14:textId="77777777" w:rsidR="00D440EE" w:rsidRDefault="00D440EE" w:rsidP="005D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fc"/>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S?V?b?N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11AF" w14:textId="77777777" w:rsidR="00D440EE" w:rsidRDefault="00D440EE" w:rsidP="005D0DB1">
      <w:pPr>
        <w:spacing w:after="0" w:line="240" w:lineRule="auto"/>
      </w:pPr>
      <w:r>
        <w:separator/>
      </w:r>
    </w:p>
  </w:footnote>
  <w:footnote w:type="continuationSeparator" w:id="0">
    <w:p w14:paraId="1FC81856" w14:textId="77777777" w:rsidR="00D440EE" w:rsidRDefault="00D440EE" w:rsidP="005D0DB1">
      <w:pPr>
        <w:spacing w:after="0" w:line="240" w:lineRule="auto"/>
      </w:pPr>
      <w:r>
        <w:continuationSeparator/>
      </w:r>
    </w:p>
  </w:footnote>
  <w:footnote w:id="1">
    <w:p w14:paraId="37A85A8B" w14:textId="77777777" w:rsidR="001C3011" w:rsidRPr="006E7ABD" w:rsidRDefault="001C3011" w:rsidP="001C3011">
      <w:pPr>
        <w:pStyle w:val="FootnoteText"/>
        <w:rPr>
          <w:rFonts w:ascii="Calibri" w:hAnsi="Calibri" w:cs="Calibri"/>
          <w:sz w:val="21"/>
          <w:szCs w:val="21"/>
        </w:rPr>
      </w:pPr>
      <w:r w:rsidRPr="006E7ABD">
        <w:rPr>
          <w:rStyle w:val="FootnoteReference"/>
          <w:rFonts w:ascii="Calibri" w:hAnsi="Calibri" w:cs="Calibri"/>
          <w:sz w:val="21"/>
          <w:szCs w:val="21"/>
        </w:rPr>
        <w:footnoteRef/>
      </w:r>
      <w:r w:rsidRPr="006E7ABD">
        <w:rPr>
          <w:rFonts w:ascii="Calibri" w:hAnsi="Calibri" w:cs="Calibri"/>
          <w:sz w:val="21"/>
          <w:szCs w:val="21"/>
        </w:rPr>
        <w:t xml:space="preserve"> Converted as 1.00 USD = 145 JPY.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56DA0"/>
    <w:multiLevelType w:val="hybridMultilevel"/>
    <w:tmpl w:val="7EC251D0"/>
    <w:lvl w:ilvl="0" w:tplc="9DEE3E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rawingGridVerticalSpacing w:val="15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95"/>
    <w:rsid w:val="00003E0D"/>
    <w:rsid w:val="00020EF8"/>
    <w:rsid w:val="00076A8E"/>
    <w:rsid w:val="000E3D7F"/>
    <w:rsid w:val="001C3011"/>
    <w:rsid w:val="00264247"/>
    <w:rsid w:val="0039573D"/>
    <w:rsid w:val="003C6669"/>
    <w:rsid w:val="003E14AB"/>
    <w:rsid w:val="00472C7D"/>
    <w:rsid w:val="005D0DB1"/>
    <w:rsid w:val="005E5C45"/>
    <w:rsid w:val="0060011F"/>
    <w:rsid w:val="00616506"/>
    <w:rsid w:val="006B74B8"/>
    <w:rsid w:val="006C4095"/>
    <w:rsid w:val="006E7ABD"/>
    <w:rsid w:val="00721E60"/>
    <w:rsid w:val="008755B0"/>
    <w:rsid w:val="008835FF"/>
    <w:rsid w:val="00892204"/>
    <w:rsid w:val="008E11F3"/>
    <w:rsid w:val="008E37F1"/>
    <w:rsid w:val="00917ED5"/>
    <w:rsid w:val="00963BCD"/>
    <w:rsid w:val="00984EC9"/>
    <w:rsid w:val="00993BD6"/>
    <w:rsid w:val="009B07F8"/>
    <w:rsid w:val="009B1DFD"/>
    <w:rsid w:val="009D7999"/>
    <w:rsid w:val="00A96285"/>
    <w:rsid w:val="00A97A92"/>
    <w:rsid w:val="00AF123E"/>
    <w:rsid w:val="00AF5974"/>
    <w:rsid w:val="00B05017"/>
    <w:rsid w:val="00B86810"/>
    <w:rsid w:val="00BB7AD5"/>
    <w:rsid w:val="00BC383B"/>
    <w:rsid w:val="00C5193E"/>
    <w:rsid w:val="00CF30A4"/>
    <w:rsid w:val="00D440EE"/>
    <w:rsid w:val="00E27344"/>
    <w:rsid w:val="00E37720"/>
    <w:rsid w:val="00F46688"/>
    <w:rsid w:val="00F97F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716A5"/>
  <w15:chartTrackingRefBased/>
  <w15:docId w15:val="{EA298922-2A38-47F5-B7E0-37EDBFDF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CD"/>
    <w:pPr>
      <w:ind w:left="720"/>
      <w:contextualSpacing/>
    </w:pPr>
    <w:rPr>
      <w:rFonts w:eastAsiaTheme="minorHAnsi"/>
      <w:lang w:eastAsia="en-US" w:bidi="he-IL"/>
    </w:rPr>
  </w:style>
  <w:style w:type="character" w:styleId="Hyperlink">
    <w:name w:val="Hyperlink"/>
    <w:basedOn w:val="DefaultParagraphFont"/>
    <w:uiPriority w:val="99"/>
    <w:unhideWhenUsed/>
    <w:rsid w:val="00003E0D"/>
    <w:rPr>
      <w:color w:val="0563C1" w:themeColor="hyperlink"/>
      <w:u w:val="single"/>
    </w:rPr>
  </w:style>
  <w:style w:type="paragraph" w:styleId="FootnoteText">
    <w:name w:val="footnote text"/>
    <w:basedOn w:val="Normal"/>
    <w:link w:val="FootnoteTextChar"/>
    <w:uiPriority w:val="99"/>
    <w:semiHidden/>
    <w:unhideWhenUsed/>
    <w:rsid w:val="005D0DB1"/>
    <w:pPr>
      <w:snapToGrid w:val="0"/>
    </w:pPr>
  </w:style>
  <w:style w:type="character" w:customStyle="1" w:styleId="FootnoteTextChar">
    <w:name w:val="Footnote Text Char"/>
    <w:basedOn w:val="DefaultParagraphFont"/>
    <w:link w:val="FootnoteText"/>
    <w:uiPriority w:val="99"/>
    <w:semiHidden/>
    <w:rsid w:val="005D0DB1"/>
  </w:style>
  <w:style w:type="character" w:styleId="FootnoteReference">
    <w:name w:val="footnote reference"/>
    <w:basedOn w:val="DefaultParagraphFont"/>
    <w:uiPriority w:val="99"/>
    <w:semiHidden/>
    <w:unhideWhenUsed/>
    <w:rsid w:val="005D0DB1"/>
    <w:rPr>
      <w:vertAlign w:val="superscript"/>
    </w:rPr>
  </w:style>
  <w:style w:type="paragraph" w:styleId="BalloonText">
    <w:name w:val="Balloon Text"/>
    <w:basedOn w:val="Normal"/>
    <w:link w:val="BalloonTextChar"/>
    <w:uiPriority w:val="99"/>
    <w:semiHidden/>
    <w:unhideWhenUsed/>
    <w:rsid w:val="00AF123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F123E"/>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F123E"/>
    <w:pPr>
      <w:tabs>
        <w:tab w:val="center" w:pos="4320"/>
        <w:tab w:val="right" w:pos="8640"/>
      </w:tabs>
      <w:spacing w:after="0" w:line="240" w:lineRule="auto"/>
    </w:pPr>
    <w:rPr>
      <w:lang w:eastAsia="en-US" w:bidi="he-IL"/>
    </w:rPr>
  </w:style>
  <w:style w:type="character" w:customStyle="1" w:styleId="HeaderChar">
    <w:name w:val="Header Char"/>
    <w:basedOn w:val="DefaultParagraphFont"/>
    <w:link w:val="Header"/>
    <w:uiPriority w:val="99"/>
    <w:rsid w:val="00AF123E"/>
    <w:rPr>
      <w:lang w:eastAsia="en-US" w:bidi="he-IL"/>
    </w:rPr>
  </w:style>
  <w:style w:type="paragraph" w:styleId="Footer">
    <w:name w:val="footer"/>
    <w:basedOn w:val="Normal"/>
    <w:link w:val="FooterChar"/>
    <w:uiPriority w:val="99"/>
    <w:unhideWhenUsed/>
    <w:rsid w:val="00AF123E"/>
    <w:pPr>
      <w:tabs>
        <w:tab w:val="center" w:pos="4252"/>
        <w:tab w:val="right" w:pos="8504"/>
      </w:tabs>
      <w:snapToGrid w:val="0"/>
    </w:pPr>
  </w:style>
  <w:style w:type="character" w:customStyle="1" w:styleId="FooterChar">
    <w:name w:val="Footer Char"/>
    <w:basedOn w:val="DefaultParagraphFont"/>
    <w:link w:val="Footer"/>
    <w:uiPriority w:val="99"/>
    <w:rsid w:val="00AF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d.masud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D1141-84CA-4618-9127-BC1B0F7F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357</Words>
  <Characters>2041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Masuda T</dc:creator>
  <cp:keywords/>
  <dc:description/>
  <cp:lastModifiedBy>Ayal</cp:lastModifiedBy>
  <cp:revision>17</cp:revision>
  <cp:lastPrinted>2022-11-06T07:51:00Z</cp:lastPrinted>
  <dcterms:created xsi:type="dcterms:W3CDTF">2022-11-06T01:23:00Z</dcterms:created>
  <dcterms:modified xsi:type="dcterms:W3CDTF">2022-11-14T17:53:00Z</dcterms:modified>
</cp:coreProperties>
</file>