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CDBD" w14:textId="31B8B107" w:rsidR="00467825" w:rsidRPr="00A8482D" w:rsidRDefault="00467825" w:rsidP="00467825">
      <w:pPr>
        <w:spacing w:after="120"/>
        <w:jc w:val="center"/>
        <w:rPr>
          <w:rFonts w:eastAsiaTheme="majorEastAsia" w:cstheme="minorHAnsi"/>
          <w:b/>
          <w:bCs/>
          <w:spacing w:val="5"/>
          <w:kern w:val="28"/>
          <w:lang w:val="en-IE"/>
        </w:rPr>
      </w:pPr>
      <w:r w:rsidRPr="00A8482D">
        <w:rPr>
          <w:rStyle w:val="TitleChar"/>
          <w:rFonts w:cstheme="minorHAnsi"/>
          <w:b/>
          <w:bCs/>
          <w:color w:val="auto"/>
          <w:lang w:val="en-IE"/>
        </w:rPr>
        <w:t>Food Security: Are Food Charity and ‘Corporate welfare’ Schemes Undermining the Right to Food</w:t>
      </w:r>
      <w:r w:rsidRPr="00A8482D">
        <w:rPr>
          <w:rFonts w:eastAsiaTheme="majorEastAsia" w:cstheme="minorHAnsi"/>
          <w:b/>
          <w:bCs/>
          <w:spacing w:val="5"/>
          <w:kern w:val="28"/>
          <w:lang w:val="en-IE"/>
        </w:rPr>
        <w:t>?</w:t>
      </w:r>
    </w:p>
    <w:p w14:paraId="4D3FA92C" w14:textId="77777777" w:rsidR="00467825" w:rsidRPr="00AA6262" w:rsidRDefault="00467825" w:rsidP="00467825">
      <w:pPr>
        <w:jc w:val="center"/>
        <w:rPr>
          <w:rFonts w:cstheme="minorHAnsi"/>
        </w:rPr>
      </w:pPr>
      <w:r w:rsidRPr="00AA6262">
        <w:rPr>
          <w:rFonts w:cstheme="minorHAnsi"/>
        </w:rPr>
        <w:t xml:space="preserve">Martin </w:t>
      </w:r>
      <w:proofErr w:type="spellStart"/>
      <w:r w:rsidRPr="00AA6262">
        <w:rPr>
          <w:rFonts w:cstheme="minorHAnsi"/>
        </w:rPr>
        <w:t>Caraher</w:t>
      </w:r>
      <w:proofErr w:type="spellEnd"/>
    </w:p>
    <w:p w14:paraId="1E49CAD6" w14:textId="77777777" w:rsidR="00467825" w:rsidRPr="00AA6262" w:rsidRDefault="00467825" w:rsidP="00467825">
      <w:pPr>
        <w:jc w:val="center"/>
        <w:rPr>
          <w:rFonts w:cstheme="minorHAnsi"/>
          <w:bCs/>
          <w:lang w:val="en-US"/>
        </w:rPr>
      </w:pPr>
      <w:r w:rsidRPr="00AA6262">
        <w:rPr>
          <w:rFonts w:cstheme="minorHAnsi"/>
          <w:bCs/>
          <w:lang w:val="en-US"/>
        </w:rPr>
        <w:t>Professor Emeritus Food and Health Policy</w:t>
      </w:r>
    </w:p>
    <w:p w14:paraId="0FF74305" w14:textId="77777777" w:rsidR="00467825" w:rsidRPr="00AA6262" w:rsidRDefault="00467825" w:rsidP="00467825">
      <w:pPr>
        <w:jc w:val="center"/>
        <w:rPr>
          <w:rFonts w:cstheme="minorHAnsi"/>
          <w:bCs/>
          <w:lang w:val="en-US"/>
        </w:rPr>
      </w:pPr>
      <w:r w:rsidRPr="00AA6262">
        <w:rPr>
          <w:rFonts w:cstheme="minorHAnsi"/>
          <w:bCs/>
          <w:lang w:val="en-US"/>
        </w:rPr>
        <w:t>Centre for Food Policy</w:t>
      </w:r>
    </w:p>
    <w:p w14:paraId="1BD2D10A" w14:textId="77777777" w:rsidR="00467825" w:rsidRPr="00AA6262" w:rsidRDefault="00467825" w:rsidP="00467825">
      <w:pPr>
        <w:jc w:val="center"/>
        <w:rPr>
          <w:rFonts w:cstheme="minorHAnsi"/>
          <w:bCs/>
          <w:lang w:val="en-US"/>
        </w:rPr>
      </w:pPr>
      <w:r w:rsidRPr="00AA6262">
        <w:rPr>
          <w:rFonts w:cstheme="minorHAnsi"/>
          <w:bCs/>
          <w:lang w:val="en-US"/>
        </w:rPr>
        <w:t>City, University of London</w:t>
      </w:r>
    </w:p>
    <w:p w14:paraId="01AA2548" w14:textId="77777777" w:rsidR="00467825" w:rsidRPr="00AA6262" w:rsidRDefault="00467825" w:rsidP="00467825">
      <w:pPr>
        <w:jc w:val="center"/>
        <w:rPr>
          <w:rFonts w:cstheme="minorHAnsi"/>
          <w:bCs/>
          <w:lang w:val="en-US"/>
        </w:rPr>
      </w:pPr>
      <w:r w:rsidRPr="00AA6262">
        <w:rPr>
          <w:rFonts w:cstheme="minorHAnsi"/>
          <w:bCs/>
          <w:lang w:val="en-US"/>
        </w:rPr>
        <w:t xml:space="preserve">E: </w:t>
      </w:r>
      <w:hyperlink r:id="rId5" w:history="1">
        <w:r w:rsidRPr="00AA6262">
          <w:rPr>
            <w:rStyle w:val="Hyperlink"/>
            <w:rFonts w:cstheme="minorHAnsi"/>
            <w:color w:val="auto"/>
            <w:lang w:val="en-US"/>
          </w:rPr>
          <w:t>m.caraher@city.ac.uk</w:t>
        </w:r>
      </w:hyperlink>
    </w:p>
    <w:p w14:paraId="7764FAEB" w14:textId="77777777" w:rsidR="00467825" w:rsidRPr="00AA6262" w:rsidRDefault="00467825" w:rsidP="00467825">
      <w:pPr>
        <w:jc w:val="center"/>
        <w:rPr>
          <w:rFonts w:cstheme="minorHAnsi"/>
          <w:bCs/>
          <w:lang w:val="en-US"/>
        </w:rPr>
      </w:pPr>
      <w:r w:rsidRPr="00AA6262">
        <w:rPr>
          <w:rFonts w:cstheme="minorHAnsi"/>
          <w:bCs/>
          <w:lang w:val="en-US"/>
        </w:rPr>
        <w:t>T: @MartinCaraher</w:t>
      </w:r>
    </w:p>
    <w:p w14:paraId="77FAF950" w14:textId="77777777" w:rsidR="00467825" w:rsidRPr="00AA6262" w:rsidRDefault="00467825" w:rsidP="00467825">
      <w:pPr>
        <w:jc w:val="both"/>
        <w:rPr>
          <w:rFonts w:cstheme="minorHAnsi"/>
        </w:rPr>
      </w:pPr>
    </w:p>
    <w:p w14:paraId="723B65AD" w14:textId="77777777" w:rsidR="00467825" w:rsidRPr="00AA6262" w:rsidRDefault="00467825" w:rsidP="00467825">
      <w:pPr>
        <w:spacing w:after="120"/>
        <w:jc w:val="center"/>
        <w:rPr>
          <w:rFonts w:cstheme="minorHAnsi"/>
          <w:b/>
        </w:rPr>
      </w:pPr>
      <w:r w:rsidRPr="00AA6262">
        <w:rPr>
          <w:rFonts w:cstheme="minorHAnsi"/>
          <w:b/>
        </w:rPr>
        <w:t>Abstract</w:t>
      </w:r>
    </w:p>
    <w:p w14:paraId="6BB8822D" w14:textId="77777777" w:rsidR="00467825" w:rsidRPr="00AA6262" w:rsidRDefault="00467825" w:rsidP="00467825">
      <w:pPr>
        <w:spacing w:after="120"/>
        <w:jc w:val="both"/>
        <w:rPr>
          <w:rFonts w:cstheme="minorHAnsi"/>
        </w:rPr>
      </w:pPr>
      <w:r w:rsidRPr="00AA6262">
        <w:rPr>
          <w:rFonts w:cstheme="minorHAnsi"/>
        </w:rPr>
        <w:t xml:space="preserve">Olivier de </w:t>
      </w:r>
      <w:proofErr w:type="spellStart"/>
      <w:r w:rsidRPr="00AA6262">
        <w:rPr>
          <w:rFonts w:cstheme="minorHAnsi"/>
        </w:rPr>
        <w:t>Schutter</w:t>
      </w:r>
      <w:proofErr w:type="spellEnd"/>
      <w:r w:rsidRPr="00AA6262">
        <w:rPr>
          <w:rFonts w:cstheme="minorHAnsi"/>
        </w:rPr>
        <w:t xml:space="preserve">, the UN Special Rapporteur for Food (2008–2014) argued that state assistance is fundamentally different from </w:t>
      </w:r>
      <w:proofErr w:type="gramStart"/>
      <w:r w:rsidRPr="00AA6262">
        <w:rPr>
          <w:rFonts w:cstheme="minorHAnsi"/>
        </w:rPr>
        <w:t>charity based</w:t>
      </w:r>
      <w:proofErr w:type="gramEnd"/>
      <w:r w:rsidRPr="00AA6262">
        <w:rPr>
          <w:rFonts w:cstheme="minorHAnsi"/>
        </w:rPr>
        <w:t xml:space="preserve"> approaches. In 2013 he said: </w:t>
      </w:r>
    </w:p>
    <w:p w14:paraId="2066DA95" w14:textId="77777777" w:rsidR="00467825" w:rsidRPr="00AA6262" w:rsidRDefault="00467825" w:rsidP="00467825">
      <w:pPr>
        <w:spacing w:after="120"/>
        <w:ind w:left="720"/>
        <w:jc w:val="both"/>
        <w:rPr>
          <w:rFonts w:cstheme="minorHAnsi"/>
          <w:i/>
        </w:rPr>
      </w:pPr>
      <w:r w:rsidRPr="00AA6262">
        <w:rPr>
          <w:rFonts w:cstheme="minorHAnsi"/>
          <w:i/>
        </w:rPr>
        <w:t>Foodbanks are a testimony to the failure of public authorities to deliver on the right to food and should be neither a permanent feature nor a substitute for more robust social programs. Food assistance in the form of the right to social security, such as cash transfers, food stamps or vouchers, can be defined in terms of rights, whereas foodbanks are charity-based and depend on donations and good will. There can also be a sense of shame attached to foodbanks.</w:t>
      </w:r>
    </w:p>
    <w:p w14:paraId="24DC3EB4" w14:textId="77777777" w:rsidR="00467825" w:rsidRPr="00AA6262" w:rsidRDefault="00467825" w:rsidP="00467825">
      <w:pPr>
        <w:spacing w:after="120"/>
        <w:jc w:val="both"/>
        <w:rPr>
          <w:rFonts w:cstheme="minorHAnsi"/>
        </w:rPr>
      </w:pPr>
      <w:proofErr w:type="gramStart"/>
      <w:r w:rsidRPr="00AA6262">
        <w:rPr>
          <w:rFonts w:cstheme="minorHAnsi"/>
        </w:rPr>
        <w:t>Of course</w:t>
      </w:r>
      <w:proofErr w:type="gramEnd"/>
      <w:r w:rsidRPr="00AA6262">
        <w:rPr>
          <w:rFonts w:cstheme="minorHAnsi"/>
        </w:rPr>
        <w:t xml:space="preserve"> hunger is emotive whether in Hebrew with the associations with famine (</w:t>
      </w:r>
      <w:proofErr w:type="spellStart"/>
      <w:r w:rsidRPr="00AA6262">
        <w:rPr>
          <w:rFonts w:cstheme="minorHAnsi"/>
        </w:rPr>
        <w:t>raab</w:t>
      </w:r>
      <w:proofErr w:type="spellEnd"/>
      <w:r w:rsidRPr="00AA6262">
        <w:rPr>
          <w:rFonts w:cstheme="minorHAnsi"/>
        </w:rPr>
        <w:t>) or the cultural memory of the Irish and the links with famine. There is a desire to tackle the problem by providing food as a ‘gift’. Yet with food insecurity this success hides a downside which is what have been termed ‘</w:t>
      </w:r>
      <w:r w:rsidRPr="00AA6262">
        <w:rPr>
          <w:rFonts w:cstheme="minorHAnsi"/>
          <w:i/>
        </w:rPr>
        <w:t xml:space="preserve">successful </w:t>
      </w:r>
      <w:proofErr w:type="gramStart"/>
      <w:r w:rsidRPr="00AA6262">
        <w:rPr>
          <w:rFonts w:cstheme="minorHAnsi"/>
          <w:i/>
        </w:rPr>
        <w:t>failures’</w:t>
      </w:r>
      <w:proofErr w:type="gramEnd"/>
      <w:r w:rsidRPr="00AA6262">
        <w:rPr>
          <w:rFonts w:cstheme="minorHAnsi"/>
        </w:rPr>
        <w:t xml:space="preserve">. Food aid charities have been successful in highlighting the problem, providing a response, tackling immediate hunger and for the growth in the sector; the food aid/charity sector has grown so large in many instances researchers refer to it alongside hospitality and retail as another food supply chain. But they can be regarded as but failures as they cannot tackle the underpinning causes of food insecurity and failures as they allow governments to point to action. </w:t>
      </w:r>
    </w:p>
    <w:p w14:paraId="305E3830" w14:textId="77777777" w:rsidR="00467825" w:rsidRPr="00AA6262" w:rsidRDefault="00467825" w:rsidP="00467825">
      <w:pPr>
        <w:spacing w:after="120"/>
        <w:jc w:val="both"/>
        <w:rPr>
          <w:rFonts w:cstheme="minorHAnsi"/>
        </w:rPr>
      </w:pPr>
      <w:r w:rsidRPr="00AA6262">
        <w:rPr>
          <w:rFonts w:cstheme="minorHAnsi"/>
        </w:rPr>
        <w:t xml:space="preserve">Food charity and aid does not and cannot tackle the underlying problems of food insecurity, which are structural. The hidden costs can be broken into two broad categories: the first is the that the link between poverty, hunger and diet related non communicable diseases is broken in favour of siloed policies; the second is that the responsibility for welfare can be disavowed by the state as the charity sector is providing a response. This can hasten the flight away from food welfare by allowing governments not to tackle the social, economic and cultural determinants of food poverty. </w:t>
      </w:r>
    </w:p>
    <w:p w14:paraId="72C81A3C" w14:textId="77777777" w:rsidR="00775EC3" w:rsidRPr="00467825" w:rsidRDefault="00775EC3" w:rsidP="00467825"/>
    <w:sectPr w:rsidR="00775EC3" w:rsidRPr="00467825" w:rsidSect="000A05C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10284"/>
    <w:multiLevelType w:val="hybridMultilevel"/>
    <w:tmpl w:val="4E28A760"/>
    <w:lvl w:ilvl="0" w:tplc="AD68DFE4">
      <w:start w:val="1"/>
      <w:numFmt w:val="bullet"/>
      <w:lvlText w:val="•"/>
      <w:lvlJc w:val="left"/>
      <w:pPr>
        <w:tabs>
          <w:tab w:val="num" w:pos="720"/>
        </w:tabs>
        <w:ind w:left="720" w:hanging="360"/>
      </w:pPr>
      <w:rPr>
        <w:rFonts w:ascii="Arial" w:hAnsi="Arial" w:hint="default"/>
      </w:rPr>
    </w:lvl>
    <w:lvl w:ilvl="1" w:tplc="B896FCDE" w:tentative="1">
      <w:start w:val="1"/>
      <w:numFmt w:val="bullet"/>
      <w:lvlText w:val="•"/>
      <w:lvlJc w:val="left"/>
      <w:pPr>
        <w:tabs>
          <w:tab w:val="num" w:pos="1440"/>
        </w:tabs>
        <w:ind w:left="1440" w:hanging="360"/>
      </w:pPr>
      <w:rPr>
        <w:rFonts w:ascii="Arial" w:hAnsi="Arial" w:hint="default"/>
      </w:rPr>
    </w:lvl>
    <w:lvl w:ilvl="2" w:tplc="9F2CECD0" w:tentative="1">
      <w:start w:val="1"/>
      <w:numFmt w:val="bullet"/>
      <w:lvlText w:val="•"/>
      <w:lvlJc w:val="left"/>
      <w:pPr>
        <w:tabs>
          <w:tab w:val="num" w:pos="2160"/>
        </w:tabs>
        <w:ind w:left="2160" w:hanging="360"/>
      </w:pPr>
      <w:rPr>
        <w:rFonts w:ascii="Arial" w:hAnsi="Arial" w:hint="default"/>
      </w:rPr>
    </w:lvl>
    <w:lvl w:ilvl="3" w:tplc="6ADE206E" w:tentative="1">
      <w:start w:val="1"/>
      <w:numFmt w:val="bullet"/>
      <w:lvlText w:val="•"/>
      <w:lvlJc w:val="left"/>
      <w:pPr>
        <w:tabs>
          <w:tab w:val="num" w:pos="2880"/>
        </w:tabs>
        <w:ind w:left="2880" w:hanging="360"/>
      </w:pPr>
      <w:rPr>
        <w:rFonts w:ascii="Arial" w:hAnsi="Arial" w:hint="default"/>
      </w:rPr>
    </w:lvl>
    <w:lvl w:ilvl="4" w:tplc="83EEBA54" w:tentative="1">
      <w:start w:val="1"/>
      <w:numFmt w:val="bullet"/>
      <w:lvlText w:val="•"/>
      <w:lvlJc w:val="left"/>
      <w:pPr>
        <w:tabs>
          <w:tab w:val="num" w:pos="3600"/>
        </w:tabs>
        <w:ind w:left="3600" w:hanging="360"/>
      </w:pPr>
      <w:rPr>
        <w:rFonts w:ascii="Arial" w:hAnsi="Arial" w:hint="default"/>
      </w:rPr>
    </w:lvl>
    <w:lvl w:ilvl="5" w:tplc="E1A03E86" w:tentative="1">
      <w:start w:val="1"/>
      <w:numFmt w:val="bullet"/>
      <w:lvlText w:val="•"/>
      <w:lvlJc w:val="left"/>
      <w:pPr>
        <w:tabs>
          <w:tab w:val="num" w:pos="4320"/>
        </w:tabs>
        <w:ind w:left="4320" w:hanging="360"/>
      </w:pPr>
      <w:rPr>
        <w:rFonts w:ascii="Arial" w:hAnsi="Arial" w:hint="default"/>
      </w:rPr>
    </w:lvl>
    <w:lvl w:ilvl="6" w:tplc="192AD202" w:tentative="1">
      <w:start w:val="1"/>
      <w:numFmt w:val="bullet"/>
      <w:lvlText w:val="•"/>
      <w:lvlJc w:val="left"/>
      <w:pPr>
        <w:tabs>
          <w:tab w:val="num" w:pos="5040"/>
        </w:tabs>
        <w:ind w:left="5040" w:hanging="360"/>
      </w:pPr>
      <w:rPr>
        <w:rFonts w:ascii="Arial" w:hAnsi="Arial" w:hint="default"/>
      </w:rPr>
    </w:lvl>
    <w:lvl w:ilvl="7" w:tplc="13BEC964" w:tentative="1">
      <w:start w:val="1"/>
      <w:numFmt w:val="bullet"/>
      <w:lvlText w:val="•"/>
      <w:lvlJc w:val="left"/>
      <w:pPr>
        <w:tabs>
          <w:tab w:val="num" w:pos="5760"/>
        </w:tabs>
        <w:ind w:left="5760" w:hanging="360"/>
      </w:pPr>
      <w:rPr>
        <w:rFonts w:ascii="Arial" w:hAnsi="Arial" w:hint="default"/>
      </w:rPr>
    </w:lvl>
    <w:lvl w:ilvl="8" w:tplc="9F002D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775EC3"/>
    <w:rsid w:val="00064C39"/>
    <w:rsid w:val="000A05CC"/>
    <w:rsid w:val="002A2D12"/>
    <w:rsid w:val="002C785C"/>
    <w:rsid w:val="00395FF5"/>
    <w:rsid w:val="003C1283"/>
    <w:rsid w:val="00411BFC"/>
    <w:rsid w:val="00467825"/>
    <w:rsid w:val="00503485"/>
    <w:rsid w:val="0050502E"/>
    <w:rsid w:val="005A6207"/>
    <w:rsid w:val="00775EC3"/>
    <w:rsid w:val="008C1DB5"/>
    <w:rsid w:val="009E702C"/>
    <w:rsid w:val="009F6E3F"/>
    <w:rsid w:val="00C02FB0"/>
    <w:rsid w:val="00CC3525"/>
    <w:rsid w:val="00D231BA"/>
    <w:rsid w:val="00DB7A66"/>
    <w:rsid w:val="00E60513"/>
    <w:rsid w:val="00E86E72"/>
    <w:rsid w:val="00E91FFC"/>
    <w:rsid w:val="00EB4398"/>
    <w:rsid w:val="00EF1E0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35106"/>
  <w14:defaultImageDpi w14:val="300"/>
  <w15:docId w15:val="{FF835BCE-91CD-4A0A-96BC-250CC4A3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05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DB5"/>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E60513"/>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503485"/>
    <w:pPr>
      <w:ind w:left="720"/>
      <w:contextualSpacing/>
    </w:pPr>
    <w:rPr>
      <w:rFonts w:ascii="Times New Roman" w:hAnsi="Times New Roman" w:cs="Times New Roman"/>
      <w:sz w:val="20"/>
      <w:szCs w:val="20"/>
      <w:lang w:val="en-IE"/>
    </w:rPr>
  </w:style>
  <w:style w:type="character" w:styleId="Hyperlink">
    <w:name w:val="Hyperlink"/>
    <w:basedOn w:val="DefaultParagraphFont"/>
    <w:uiPriority w:val="99"/>
    <w:unhideWhenUsed/>
    <w:rsid w:val="00EB4398"/>
    <w:rPr>
      <w:color w:val="0000FF" w:themeColor="hyperlink"/>
      <w:u w:val="single"/>
    </w:rPr>
  </w:style>
  <w:style w:type="paragraph" w:styleId="Title">
    <w:name w:val="Title"/>
    <w:basedOn w:val="Normal"/>
    <w:next w:val="Normal"/>
    <w:link w:val="TitleChar"/>
    <w:uiPriority w:val="10"/>
    <w:qFormat/>
    <w:rsid w:val="009F6E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E3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411">
      <w:bodyDiv w:val="1"/>
      <w:marLeft w:val="0"/>
      <w:marRight w:val="0"/>
      <w:marTop w:val="0"/>
      <w:marBottom w:val="0"/>
      <w:divBdr>
        <w:top w:val="none" w:sz="0" w:space="0" w:color="auto"/>
        <w:left w:val="none" w:sz="0" w:space="0" w:color="auto"/>
        <w:bottom w:val="none" w:sz="0" w:space="0" w:color="auto"/>
        <w:right w:val="none" w:sz="0" w:space="0" w:color="auto"/>
      </w:divBdr>
    </w:div>
    <w:div w:id="250630780">
      <w:bodyDiv w:val="1"/>
      <w:marLeft w:val="0"/>
      <w:marRight w:val="0"/>
      <w:marTop w:val="0"/>
      <w:marBottom w:val="0"/>
      <w:divBdr>
        <w:top w:val="none" w:sz="0" w:space="0" w:color="auto"/>
        <w:left w:val="none" w:sz="0" w:space="0" w:color="auto"/>
        <w:bottom w:val="none" w:sz="0" w:space="0" w:color="auto"/>
        <w:right w:val="none" w:sz="0" w:space="0" w:color="auto"/>
      </w:divBdr>
      <w:divsChild>
        <w:div w:id="196898834">
          <w:marLeft w:val="0"/>
          <w:marRight w:val="0"/>
          <w:marTop w:val="0"/>
          <w:marBottom w:val="0"/>
          <w:divBdr>
            <w:top w:val="none" w:sz="0" w:space="0" w:color="auto"/>
            <w:left w:val="none" w:sz="0" w:space="0" w:color="auto"/>
            <w:bottom w:val="none" w:sz="0" w:space="0" w:color="auto"/>
            <w:right w:val="none" w:sz="0" w:space="0" w:color="auto"/>
          </w:divBdr>
          <w:divsChild>
            <w:div w:id="732384929">
              <w:marLeft w:val="0"/>
              <w:marRight w:val="0"/>
              <w:marTop w:val="0"/>
              <w:marBottom w:val="0"/>
              <w:divBdr>
                <w:top w:val="none" w:sz="0" w:space="0" w:color="auto"/>
                <w:left w:val="none" w:sz="0" w:space="0" w:color="auto"/>
                <w:bottom w:val="none" w:sz="0" w:space="0" w:color="auto"/>
                <w:right w:val="none" w:sz="0" w:space="0" w:color="auto"/>
              </w:divBdr>
            </w:div>
            <w:div w:id="6453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084">
      <w:bodyDiv w:val="1"/>
      <w:marLeft w:val="0"/>
      <w:marRight w:val="0"/>
      <w:marTop w:val="0"/>
      <w:marBottom w:val="0"/>
      <w:divBdr>
        <w:top w:val="none" w:sz="0" w:space="0" w:color="auto"/>
        <w:left w:val="none" w:sz="0" w:space="0" w:color="auto"/>
        <w:bottom w:val="none" w:sz="0" w:space="0" w:color="auto"/>
        <w:right w:val="none" w:sz="0" w:space="0" w:color="auto"/>
      </w:divBdr>
      <w:divsChild>
        <w:div w:id="1432235609">
          <w:marLeft w:val="547"/>
          <w:marRight w:val="0"/>
          <w:marTop w:val="173"/>
          <w:marBottom w:val="0"/>
          <w:divBdr>
            <w:top w:val="none" w:sz="0" w:space="0" w:color="auto"/>
            <w:left w:val="none" w:sz="0" w:space="0" w:color="auto"/>
            <w:bottom w:val="none" w:sz="0" w:space="0" w:color="auto"/>
            <w:right w:val="none" w:sz="0" w:space="0" w:color="auto"/>
          </w:divBdr>
        </w:div>
        <w:div w:id="1783302136">
          <w:marLeft w:val="547"/>
          <w:marRight w:val="0"/>
          <w:marTop w:val="173"/>
          <w:marBottom w:val="0"/>
          <w:divBdr>
            <w:top w:val="none" w:sz="0" w:space="0" w:color="auto"/>
            <w:left w:val="none" w:sz="0" w:space="0" w:color="auto"/>
            <w:bottom w:val="none" w:sz="0" w:space="0" w:color="auto"/>
            <w:right w:val="none" w:sz="0" w:space="0" w:color="auto"/>
          </w:divBdr>
        </w:div>
        <w:div w:id="1050880834">
          <w:marLeft w:val="547"/>
          <w:marRight w:val="0"/>
          <w:marTop w:val="173"/>
          <w:marBottom w:val="0"/>
          <w:divBdr>
            <w:top w:val="none" w:sz="0" w:space="0" w:color="auto"/>
            <w:left w:val="none" w:sz="0" w:space="0" w:color="auto"/>
            <w:bottom w:val="none" w:sz="0" w:space="0" w:color="auto"/>
            <w:right w:val="none" w:sz="0" w:space="0" w:color="auto"/>
          </w:divBdr>
        </w:div>
      </w:divsChild>
    </w:div>
    <w:div w:id="361250723">
      <w:bodyDiv w:val="1"/>
      <w:marLeft w:val="0"/>
      <w:marRight w:val="0"/>
      <w:marTop w:val="0"/>
      <w:marBottom w:val="0"/>
      <w:divBdr>
        <w:top w:val="none" w:sz="0" w:space="0" w:color="auto"/>
        <w:left w:val="none" w:sz="0" w:space="0" w:color="auto"/>
        <w:bottom w:val="none" w:sz="0" w:space="0" w:color="auto"/>
        <w:right w:val="none" w:sz="0" w:space="0" w:color="auto"/>
      </w:divBdr>
    </w:div>
    <w:div w:id="810755555">
      <w:bodyDiv w:val="1"/>
      <w:marLeft w:val="0"/>
      <w:marRight w:val="0"/>
      <w:marTop w:val="0"/>
      <w:marBottom w:val="0"/>
      <w:divBdr>
        <w:top w:val="none" w:sz="0" w:space="0" w:color="auto"/>
        <w:left w:val="none" w:sz="0" w:space="0" w:color="auto"/>
        <w:bottom w:val="none" w:sz="0" w:space="0" w:color="auto"/>
        <w:right w:val="none" w:sz="0" w:space="0" w:color="auto"/>
      </w:divBdr>
      <w:divsChild>
        <w:div w:id="352145935">
          <w:marLeft w:val="0"/>
          <w:marRight w:val="0"/>
          <w:marTop w:val="0"/>
          <w:marBottom w:val="0"/>
          <w:divBdr>
            <w:top w:val="none" w:sz="0" w:space="0" w:color="auto"/>
            <w:left w:val="none" w:sz="0" w:space="0" w:color="auto"/>
            <w:bottom w:val="none" w:sz="0" w:space="0" w:color="auto"/>
            <w:right w:val="none" w:sz="0" w:space="0" w:color="auto"/>
          </w:divBdr>
          <w:divsChild>
            <w:div w:id="1621570094">
              <w:marLeft w:val="0"/>
              <w:marRight w:val="0"/>
              <w:marTop w:val="0"/>
              <w:marBottom w:val="0"/>
              <w:divBdr>
                <w:top w:val="none" w:sz="0" w:space="0" w:color="auto"/>
                <w:left w:val="none" w:sz="0" w:space="0" w:color="auto"/>
                <w:bottom w:val="none" w:sz="0" w:space="0" w:color="auto"/>
                <w:right w:val="none" w:sz="0" w:space="0" w:color="auto"/>
              </w:divBdr>
            </w:div>
            <w:div w:id="8060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64">
      <w:bodyDiv w:val="1"/>
      <w:marLeft w:val="0"/>
      <w:marRight w:val="0"/>
      <w:marTop w:val="0"/>
      <w:marBottom w:val="0"/>
      <w:divBdr>
        <w:top w:val="none" w:sz="0" w:space="0" w:color="auto"/>
        <w:left w:val="none" w:sz="0" w:space="0" w:color="auto"/>
        <w:bottom w:val="none" w:sz="0" w:space="0" w:color="auto"/>
        <w:right w:val="none" w:sz="0" w:space="0" w:color="auto"/>
      </w:divBdr>
    </w:div>
    <w:div w:id="1241132643">
      <w:bodyDiv w:val="1"/>
      <w:marLeft w:val="0"/>
      <w:marRight w:val="0"/>
      <w:marTop w:val="0"/>
      <w:marBottom w:val="0"/>
      <w:divBdr>
        <w:top w:val="none" w:sz="0" w:space="0" w:color="auto"/>
        <w:left w:val="none" w:sz="0" w:space="0" w:color="auto"/>
        <w:bottom w:val="none" w:sz="0" w:space="0" w:color="auto"/>
        <w:right w:val="none" w:sz="0" w:space="0" w:color="auto"/>
      </w:divBdr>
      <w:divsChild>
        <w:div w:id="1931767215">
          <w:marLeft w:val="547"/>
          <w:marRight w:val="0"/>
          <w:marTop w:val="173"/>
          <w:marBottom w:val="0"/>
          <w:divBdr>
            <w:top w:val="none" w:sz="0" w:space="0" w:color="auto"/>
            <w:left w:val="none" w:sz="0" w:space="0" w:color="auto"/>
            <w:bottom w:val="none" w:sz="0" w:space="0" w:color="auto"/>
            <w:right w:val="none" w:sz="0" w:space="0" w:color="auto"/>
          </w:divBdr>
        </w:div>
        <w:div w:id="240872396">
          <w:marLeft w:val="547"/>
          <w:marRight w:val="0"/>
          <w:marTop w:val="173"/>
          <w:marBottom w:val="0"/>
          <w:divBdr>
            <w:top w:val="none" w:sz="0" w:space="0" w:color="auto"/>
            <w:left w:val="none" w:sz="0" w:space="0" w:color="auto"/>
            <w:bottom w:val="none" w:sz="0" w:space="0" w:color="auto"/>
            <w:right w:val="none" w:sz="0" w:space="0" w:color="auto"/>
          </w:divBdr>
        </w:div>
        <w:div w:id="741831503">
          <w:marLeft w:val="547"/>
          <w:marRight w:val="0"/>
          <w:marTop w:val="173"/>
          <w:marBottom w:val="0"/>
          <w:divBdr>
            <w:top w:val="none" w:sz="0" w:space="0" w:color="auto"/>
            <w:left w:val="none" w:sz="0" w:space="0" w:color="auto"/>
            <w:bottom w:val="none" w:sz="0" w:space="0" w:color="auto"/>
            <w:right w:val="none" w:sz="0" w:space="0" w:color="auto"/>
          </w:divBdr>
        </w:div>
      </w:divsChild>
    </w:div>
    <w:div w:id="1433086470">
      <w:bodyDiv w:val="1"/>
      <w:marLeft w:val="0"/>
      <w:marRight w:val="0"/>
      <w:marTop w:val="0"/>
      <w:marBottom w:val="0"/>
      <w:divBdr>
        <w:top w:val="none" w:sz="0" w:space="0" w:color="auto"/>
        <w:left w:val="none" w:sz="0" w:space="0" w:color="auto"/>
        <w:bottom w:val="none" w:sz="0" w:space="0" w:color="auto"/>
        <w:right w:val="none" w:sz="0" w:space="0" w:color="auto"/>
      </w:divBdr>
    </w:div>
    <w:div w:id="2004698754">
      <w:bodyDiv w:val="1"/>
      <w:marLeft w:val="0"/>
      <w:marRight w:val="0"/>
      <w:marTop w:val="0"/>
      <w:marBottom w:val="0"/>
      <w:divBdr>
        <w:top w:val="none" w:sz="0" w:space="0" w:color="auto"/>
        <w:left w:val="none" w:sz="0" w:space="0" w:color="auto"/>
        <w:bottom w:val="none" w:sz="0" w:space="0" w:color="auto"/>
        <w:right w:val="none" w:sz="0" w:space="0" w:color="auto"/>
      </w:divBdr>
    </w:div>
    <w:div w:id="2060282024">
      <w:bodyDiv w:val="1"/>
      <w:marLeft w:val="0"/>
      <w:marRight w:val="0"/>
      <w:marTop w:val="0"/>
      <w:marBottom w:val="0"/>
      <w:divBdr>
        <w:top w:val="none" w:sz="0" w:space="0" w:color="auto"/>
        <w:left w:val="none" w:sz="0" w:space="0" w:color="auto"/>
        <w:bottom w:val="none" w:sz="0" w:space="0" w:color="auto"/>
        <w:right w:val="none" w:sz="0" w:space="0" w:color="auto"/>
      </w:divBdr>
    </w:div>
    <w:div w:id="2115591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raher@cit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Caraher</dc:creator>
  <cp:keywords/>
  <dc:description/>
  <cp:lastModifiedBy>Ayal</cp:lastModifiedBy>
  <cp:revision>5</cp:revision>
  <dcterms:created xsi:type="dcterms:W3CDTF">2022-10-07T10:24:00Z</dcterms:created>
  <dcterms:modified xsi:type="dcterms:W3CDTF">2022-11-14T17:52:00Z</dcterms:modified>
</cp:coreProperties>
</file>